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Karta oceny operacji 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g</w:t>
            </w:r>
            <w:r w:rsidR="001A1123">
              <w:rPr>
                <w:rFonts w:ascii="Times New Roman" w:eastAsia="Calibri" w:hAnsi="Times New Roman" w:cs="Times New Roman"/>
                <w:b/>
                <w:lang w:eastAsia="zh-CN"/>
              </w:rPr>
              <w:t>rantowych w ramach konkursu nr 9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>/2019/G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Numer wniosku: 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02E5" w:rsidRPr="005B540D" w:rsidTr="00351864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 Aktywni i świadomi mieszkańcy dbający o kulturę i dziedzictwo obszaru LGD oraz środowisko naturalne.</w:t>
            </w:r>
          </w:p>
        </w:tc>
      </w:tr>
      <w:tr w:rsidR="006602E5" w:rsidRPr="005B540D" w:rsidTr="00351864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2.1 Rozwój branży turystycznej wykorzystującej w sposób zrównoważony lokalne zasoby i dziedzictwo oraz pasje mieszkańców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 Rozwój infrastruktury uzupełniającej ofertę turystyczna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 Włączenie grup de faworyzowanych poprzez zwiększenie możliwości ich zaangażowania w życie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– kulturalne obszaru LGD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 Zachowanie i zrównoważone wykorzystanie dziedzictwa kulturowego, historycznego, przyrodniczego i rybackiego</w:t>
            </w:r>
          </w:p>
        </w:tc>
      </w:tr>
      <w:tr w:rsidR="006602E5" w:rsidRPr="005B540D" w:rsidTr="00351864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2.2.1 Budowa małej architektury turystycznej, rekreacyjnej i sportowej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4.1.2 Wsparcie grup promujących zasoby regionu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4.1.3 Wsparcie działań dotyczących wyposażenia grup kultywujących dziedzictwo obszaru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4.2.1 Dostosowanie i wyposażenie obiektów pełniących funkcje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społeczno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- kulturalne</w:t>
            </w:r>
          </w:p>
        </w:tc>
      </w:tr>
      <w:tr w:rsidR="006602E5" w:rsidRPr="005B540D" w:rsidTr="00351864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4.2.2 Edukacja regionalna dla dzieci i młodzieży</w:t>
            </w:r>
          </w:p>
        </w:tc>
      </w:tr>
      <w:tr w:rsidR="006602E5" w:rsidRPr="005B540D" w:rsidTr="00351864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2E5" w:rsidRPr="005B540D" w:rsidRDefault="006602E5" w:rsidP="003518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4.4.1 Wsparcie działań w zakresie renowacji obiektów zabytkowych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b/>
                <w:lang w:eastAsia="zh-CN"/>
              </w:rPr>
              <w:t>Ilość przyznanych punktów</w:t>
            </w: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Wnioskodawca skonsultował wniosek i korzystał z doradztwa z pracownikami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skonsultował przygotowywany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wykorzystanie i promocję zasobów: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kulturowego i historycznego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dziedzictwa kulinarnego</w:t>
            </w:r>
          </w:p>
          <w:p w:rsidR="006602E5" w:rsidRPr="005B540D" w:rsidRDefault="006602E5" w:rsidP="006602E5">
            <w:pPr>
              <w:numPr>
                <w:ilvl w:val="0"/>
                <w:numId w:val="2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 ramach realizowanej operacji wykorzystanie i promocję zasobów: </w:t>
            </w:r>
          </w:p>
          <w:p w:rsidR="006602E5" w:rsidRPr="005B540D" w:rsidRDefault="006602E5" w:rsidP="00351864">
            <w:pPr>
              <w:suppressAutoHyphens/>
              <w:spacing w:before="60" w:after="6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kulturowego lub historycznego (np. zabytki, pomniki przyrody, tradycje, obrzędy związane z obszarem, historię regionu),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- dziedzictwa kulinarnego (produkty tradycyjne i regionalne, kuchnia tradycyjna)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 jest skierowana do grup defaworyzowanych zdiagnozowanych w LSR: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 grupy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 grup</w:t>
            </w:r>
          </w:p>
          <w:p w:rsidR="006602E5" w:rsidRPr="005B540D" w:rsidRDefault="006602E5" w:rsidP="006602E5">
            <w:pPr>
              <w:numPr>
                <w:ilvl w:val="0"/>
                <w:numId w:val="3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jest skierowana do grupy defaworyzowanej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 ramach planowanej do realizacji operacji zaplanowano włączenie osób z grup defaworyzowanych zdiagnozowanych w LSR, tj. młodzież, osoby bezrobotne seniorzy i mieszkańcy wsi. Kryterium uznaje się za spełnione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jeżeli efekty realizacji operacji będą służyły między innymi grupie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defaworyzwanej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 zgodnie z definicją i zakresem przyjętym w LSR oraz na jej wprowadzenie zaplanowano koszty w budżecie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jest innowacyjna: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LGD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gminy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na obszarze miejscowości</w:t>
            </w:r>
          </w:p>
          <w:p w:rsidR="006602E5" w:rsidRPr="005B540D" w:rsidRDefault="006602E5" w:rsidP="006602E5">
            <w:pPr>
              <w:numPr>
                <w:ilvl w:val="0"/>
                <w:numId w:val="7"/>
              </w:numPr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6602E5" w:rsidRPr="005B540D" w:rsidRDefault="006602E5" w:rsidP="00351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B540D">
              <w:rPr>
                <w:rFonts w:ascii="Calibri" w:eastAsia="Calibri" w:hAnsi="Calibri" w:cs="Calibri"/>
              </w:rPr>
              <w:t>Grantobiorca</w:t>
            </w:r>
            <w:proofErr w:type="spellEnd"/>
            <w:r w:rsidRPr="005B540D">
              <w:rPr>
                <w:rFonts w:ascii="Calibri" w:eastAsia="Calibri" w:hAnsi="Calibri" w:cs="Calibri"/>
              </w:rPr>
              <w:t xml:space="preserve"> musi dokładnie opisać innowacyjność swojej operacji w sposób nie budzący wątpliwości.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Grantobiorcę</w:t>
            </w:r>
            <w:proofErr w:type="spellEnd"/>
            <w:r w:rsidRPr="005B540D">
              <w:rPr>
                <w:rFonts w:ascii="Times New Roman" w:eastAsia="Calibri" w:hAnsi="Times New Roman" w:cs="Times New Roman"/>
                <w:iCs/>
                <w:lang w:eastAsia="zh-CN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Operacja przyczynia się do integracji mieszkańców poprzez nawiązanie stałej współpracy związanej z realizowaną operacją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jednej miejscowości 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gminy</w:t>
            </w:r>
          </w:p>
          <w:p w:rsidR="006602E5" w:rsidRPr="005B540D" w:rsidRDefault="006602E5" w:rsidP="006602E5">
            <w:pPr>
              <w:numPr>
                <w:ilvl w:val="0"/>
                <w:numId w:val="8"/>
              </w:numPr>
              <w:suppressAutoHyphens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wnioskodawca zaplanował działania przyczyniające się do integracji lokalnej społeczności. 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przyczynia się do podniesienia atrakcyjności obszaru poprzez: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Budowę małej architektury turystycznej lub rekreacyjnej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Podejmowanie działań promujących dziedzictwo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obszaru LGD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dotyczących edukacji i kultywowania dziedzictwa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Podejmowanie działań mających na celu zachowanie dziedzictwa historycznego i kulturowego</w:t>
            </w:r>
          </w:p>
          <w:p w:rsidR="006602E5" w:rsidRPr="005B540D" w:rsidRDefault="006602E5" w:rsidP="006602E5">
            <w:pPr>
              <w:numPr>
                <w:ilvl w:val="0"/>
                <w:numId w:val="4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się za spełnione, jeżeli w ramach planowanej do realizacji operacji zaplanowano działania przyczyniające się do podniesienia atrakcyjności obszaru związane z  tworzeniem i rozwojem tematycznych obiektów turystycznych lub budową małej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architektury turystycznej; podejmowaniem działań promujących dziedzictwo obszaru LGD; podejmowaniem działań dotyczących edukacji i kultywowania dziedzictwa, podejmowaniem działań mających na celu zachowanie dziedzictwa historycznego i kulturowego.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Kwota dofinansowania wynosi: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do 25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25 tyś. do 35 tyś.</w:t>
            </w:r>
          </w:p>
          <w:p w:rsidR="006602E5" w:rsidRPr="005B540D" w:rsidRDefault="006602E5" w:rsidP="006602E5">
            <w:pPr>
              <w:numPr>
                <w:ilvl w:val="0"/>
                <w:numId w:val="5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 o niższej wartości dofinansowania.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realizowana jest przez: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organizację pozarządową</w:t>
            </w:r>
          </w:p>
          <w:p w:rsidR="006602E5" w:rsidRPr="005B540D" w:rsidRDefault="006602E5" w:rsidP="006602E5">
            <w:pPr>
              <w:numPr>
                <w:ilvl w:val="0"/>
                <w:numId w:val="6"/>
              </w:num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Preferowane będą operacje, których wnioskodawcami będą organizacje pozarządowe.</w:t>
            </w:r>
          </w:p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Kryterium uznaje się za spełnione, jeżeli wnioskodawca realizował projekty podobne tematycznie i rzeczowo do 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6602E5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ma wpływ na rozwiązywanie problemów obszaru objętego LSR wskazanych w diagnozie: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>operacja przyczynia się do rozwiązania 3 problemów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operacja przyczynia się do rozwiązania 2 problemów 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6602E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</w:pP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t xml:space="preserve">operacja przyczynia się do </w:t>
            </w:r>
            <w:r w:rsidRPr="005B540D">
              <w:rPr>
                <w:rFonts w:ascii="Times New Roman" w:eastAsia="Calibri" w:hAnsi="Times New Roman" w:cs="Times New Roman"/>
                <w:sz w:val="20"/>
                <w:szCs w:val="20"/>
                <w:lang w:val="x-none" w:eastAsia="zh-CN"/>
              </w:rPr>
              <w:lastRenderedPageBreak/>
              <w:t>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Kryterium uznaje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sie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</w:t>
            </w: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02E5" w:rsidRPr="005B540D" w:rsidRDefault="006602E5" w:rsidP="00351864">
            <w:pPr>
              <w:tabs>
                <w:tab w:val="left" w:pos="0"/>
              </w:tabs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lastRenderedPageBreak/>
              <w:t>11.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Operacja zakłada promocje obszaru LGD: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na terenie obszaru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poza obszarem LGD</w:t>
            </w:r>
          </w:p>
          <w:p w:rsidR="006602E5" w:rsidRPr="005B540D" w:rsidRDefault="006602E5" w:rsidP="006602E5">
            <w:pPr>
              <w:numPr>
                <w:ilvl w:val="0"/>
                <w:numId w:val="10"/>
              </w:numPr>
              <w:suppressAutoHyphens/>
              <w:spacing w:after="0" w:line="360" w:lineRule="auto"/>
              <w:ind w:left="357" w:hanging="357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  <w:p w:rsidR="006602E5" w:rsidRPr="005B540D" w:rsidRDefault="006602E5" w:rsidP="00351864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 w:rsidRPr="005B540D">
              <w:rPr>
                <w:rFonts w:ascii="Times New Roman" w:eastAsia="Calibri" w:hAnsi="Times New Roman" w:cs="Times New Roman"/>
                <w:lang w:eastAsia="zh-CN"/>
              </w:rPr>
              <w:t>Grantobiorca</w:t>
            </w:r>
            <w:proofErr w:type="spellEnd"/>
            <w:r w:rsidRPr="005B540D">
              <w:rPr>
                <w:rFonts w:ascii="Times New Roman" w:eastAsia="Calibri" w:hAnsi="Times New Roman" w:cs="Times New Roman"/>
                <w:lang w:eastAsia="zh-C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602E5" w:rsidRPr="005B540D" w:rsidTr="00351864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B540D">
              <w:rPr>
                <w:rFonts w:ascii="Times New Roman" w:eastAsia="Calibri" w:hAnsi="Times New Roman" w:cs="Times New Roman"/>
                <w:lang w:eastAsia="zh-CN"/>
              </w:rPr>
              <w:t>Maksymalna liczba: 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E5" w:rsidRPr="005B540D" w:rsidRDefault="006602E5" w:rsidP="00351864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D04E2" w:rsidRPr="00EF1B6B" w:rsidRDefault="00ED04E2">
      <w:pPr>
        <w:rPr>
          <w:rFonts w:ascii="Times New Roman" w:hAnsi="Times New Roman" w:cs="Times New Roman"/>
        </w:rPr>
      </w:pPr>
    </w:p>
    <w:p w:rsidR="006602E5" w:rsidRPr="00EF1B6B" w:rsidRDefault="006602E5">
      <w:pPr>
        <w:rPr>
          <w:rFonts w:ascii="Times New Roman" w:hAnsi="Times New Roman" w:cs="Times New Roman"/>
        </w:rPr>
      </w:pPr>
      <w:bookmarkStart w:id="0" w:name="_GoBack"/>
      <w:r w:rsidRPr="00EF1B6B">
        <w:rPr>
          <w:rFonts w:ascii="Times New Roman" w:hAnsi="Times New Roman" w:cs="Times New Roman"/>
        </w:rPr>
        <w:t>Minimalna liczba punktów, jaką należy uzyskać aby otrzym</w:t>
      </w:r>
      <w:r w:rsidR="001A1123" w:rsidRPr="00EF1B6B">
        <w:rPr>
          <w:rFonts w:ascii="Times New Roman" w:hAnsi="Times New Roman" w:cs="Times New Roman"/>
        </w:rPr>
        <w:t>ać dofinansowanie w naborze Nr 9</w:t>
      </w:r>
      <w:r w:rsidRPr="00EF1B6B">
        <w:rPr>
          <w:rFonts w:ascii="Times New Roman" w:hAnsi="Times New Roman" w:cs="Times New Roman"/>
        </w:rPr>
        <w:t>/2019/G</w:t>
      </w:r>
    </w:p>
    <w:p w:rsidR="006602E5" w:rsidRPr="00EF1B6B" w:rsidRDefault="006602E5">
      <w:pPr>
        <w:rPr>
          <w:rFonts w:ascii="Times New Roman" w:hAnsi="Times New Roman" w:cs="Times New Roman"/>
          <w:b/>
        </w:rPr>
      </w:pPr>
      <w:r w:rsidRPr="00EF1B6B">
        <w:rPr>
          <w:rFonts w:ascii="Times New Roman" w:hAnsi="Times New Roman" w:cs="Times New Roman"/>
          <w:b/>
        </w:rPr>
        <w:t>- 14,5 pkt</w:t>
      </w:r>
      <w:bookmarkEnd w:id="0"/>
    </w:p>
    <w:sectPr w:rsidR="006602E5" w:rsidRPr="00EF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E5"/>
    <w:rsid w:val="001A1123"/>
    <w:rsid w:val="004B09F9"/>
    <w:rsid w:val="006602E5"/>
    <w:rsid w:val="00ED04E2"/>
    <w:rsid w:val="00E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3</cp:revision>
  <dcterms:created xsi:type="dcterms:W3CDTF">2019-02-13T14:36:00Z</dcterms:created>
  <dcterms:modified xsi:type="dcterms:W3CDTF">2019-02-13T14:44:00Z</dcterms:modified>
</cp:coreProperties>
</file>